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Par230"/>
      <w:bookmarkStart w:id="1" w:name="_GoBack"/>
      <w:bookmarkEnd w:id="0"/>
      <w:r>
        <w:rPr>
          <w:b/>
          <w:bCs/>
          <w:sz w:val="28"/>
          <w:szCs w:val="28"/>
        </w:rPr>
        <w:t>VII. Порядок отнесения субъектов контроля к определенной</w:t>
      </w:r>
    </w:p>
    <w:p w:rsidR="000C07A3" w:rsidRDefault="000C07A3" w:rsidP="000C07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категории риска</w:t>
      </w:r>
      <w:bookmarkEnd w:id="1"/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Контрольный орган включает в план проведения плановых проверок субъекты контроля с учетом их отнесения к категориям риска.</w:t>
      </w:r>
    </w:p>
    <w:p w:rsidR="000C07A3" w:rsidRDefault="000C07A3" w:rsidP="000C07A3">
      <w:pPr>
        <w:autoSpaceDE w:val="0"/>
        <w:autoSpaceDN w:val="0"/>
        <w:adjustRightInd w:val="0"/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Категории риска делятся на высокую категорию риска, среднюю категорию риска и низкую категорию риска.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bookmarkStart w:id="2" w:name="Par241"/>
      <w:bookmarkEnd w:id="2"/>
      <w:r>
        <w:rPr>
          <w:sz w:val="28"/>
          <w:szCs w:val="28"/>
        </w:rPr>
        <w:t>57. Отнесение субъектов контроля к определенной категории риска осуществляется на основании следующих критериев: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242"/>
      <w:bookmarkEnd w:id="3"/>
      <w:r>
        <w:rPr>
          <w:sz w:val="28"/>
          <w:szCs w:val="28"/>
        </w:rPr>
        <w:t>а) количество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субъектов контроля;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243"/>
      <w:bookmarkEnd w:id="4"/>
      <w:r>
        <w:rPr>
          <w:sz w:val="28"/>
          <w:szCs w:val="28"/>
        </w:rPr>
        <w:t>б) количество случаев неисполнения субъектами контроля предписаний;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5" w:name="Par244"/>
      <w:bookmarkEnd w:id="5"/>
      <w:r>
        <w:rPr>
          <w:sz w:val="28"/>
          <w:szCs w:val="28"/>
        </w:rPr>
        <w:t>в) количество случаев по не включению поставщиков (подрядчиков, исполнителей)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bookmarkStart w:id="6" w:name="Par247"/>
      <w:bookmarkEnd w:id="6"/>
      <w:r>
        <w:rPr>
          <w:sz w:val="28"/>
          <w:szCs w:val="28"/>
        </w:rPr>
        <w:t xml:space="preserve">58. Контрольный орган вправе использовать в отношении субъектов контроля при их включении в план проведения плановых проверок критерий, предусмотренный </w:t>
      </w:r>
      <w:hyperlink r:id="rId4" w:anchor="Par244" w:history="1">
        <w:r>
          <w:rPr>
            <w:rStyle w:val="a3"/>
            <w:sz w:val="28"/>
            <w:szCs w:val="28"/>
            <w:u w:val="none"/>
          </w:rPr>
          <w:t>подпунктом "в"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59. Контрольный орган рассчитывает критерии (далее - критерии), в отношении субъектов контроля с использованием функциональных возможностей единой информационной системы на основании информации, размещенной в единой информационной системе. В случае если информация не подлежит размещению в единой информационной системе в соответствии с законодательством Российской Федерации, контрольный орган рассчитывает критерии в отношении субъектов контроля в порядке, предусмотренном настоящим разделом, без использования функциональных возможностей единой информационной системы.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Контрольный орган в целях расчета критерия, использует информацию, размещенную в единой информационной системе, обо всех решениях по результатам рассмотрения жалоб участников закупок и </w:t>
      </w:r>
      <w:r>
        <w:rPr>
          <w:sz w:val="28"/>
          <w:szCs w:val="28"/>
        </w:rPr>
        <w:lastRenderedPageBreak/>
        <w:t>проведении на их основании внеплановых проверок в отношении субъектов контроля, принятых органом местного самоуправления муниципального района, уполномоченным на осуществление контроля в сфере закупок.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61. Контрольный орган в целях расчета критерия, использует информацию, размещенную в единой информационной системе, о неисполнении субъектами контроля предписаний, которые выданы органом местного самоуправления муниципального района, уполномоченными на осуществление контроля в сфере закупок.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62. Контрольный орган в целях расчета критерия, использует информацию, размещенную федеральным органом исполнительной власти, уполномоченным на осуществление контроля в сфере закупок, в единой информационной системе о не включении поставщиков (подрядчиков, исполнителей)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Критерий, указанный в </w:t>
      </w:r>
      <w:hyperlink r:id="rId5" w:anchor="Par242" w:history="1">
        <w:r>
          <w:rPr>
            <w:rStyle w:val="a3"/>
            <w:sz w:val="28"/>
            <w:szCs w:val="28"/>
            <w:u w:val="none"/>
          </w:rPr>
          <w:t>подпункте "а"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 (КР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), рассчитывается как отношение количества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проведения на их основании внеплановых проверок в отношении субъектов контроля, к общему количеству всех закупок, проверенных контрольными органами в ходе рассмотрения жалоб участников закупок и проведенных на их основании внеплановых проверок. Количество присуждаемых баллов субъекту контроля по указанному критерию (КР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определяется по формуле: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5335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 - количество закупок, проведенных с нарушениями законодательства о контрактной системе, выявленными по результатам рассмотрения жалоб участников закупок и проведенных на их основании внеплановых проверок в отношении субъектов контроля, за текущий календарный год;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 - количество закупок, проверенных контрольными органами в ходе рассмотрения жалоб участников закупок и проведения на их основании внеплановых проверок, за текущий календарный год.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этого критерия (КР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составляет 25 процентов.</w:t>
      </w:r>
    </w:p>
    <w:p w:rsidR="000C07A3" w:rsidRDefault="000C07A3" w:rsidP="000C07A3">
      <w:pPr>
        <w:autoSpaceDE w:val="0"/>
        <w:autoSpaceDN w:val="0"/>
        <w:adjustRightInd w:val="0"/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Критерий, указанный в </w:t>
      </w:r>
      <w:hyperlink r:id="rId7" w:anchor="Par243" w:history="1">
        <w:r>
          <w:rPr>
            <w:rStyle w:val="a3"/>
            <w:sz w:val="28"/>
            <w:szCs w:val="28"/>
            <w:u w:val="none"/>
          </w:rPr>
          <w:t>подпункте "б"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 (КР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), рассчитывается как отношение количества неисполненных предписаний, в отношении которых судом не приняты обеспечительные меры, к общему количеству всех предписаний, выданных контрольными органами в отношении субъекта контроля. Количество присуждаемых баллов субъекту контроля по указанному критерию (КР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определяется по формуле: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600200" cy="542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НП - количество неисполненных предписаний, в отношении которых судом не приняты обеспечительные меры, за текущий календарный год;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 - общее количество предписаний, выданных контрольными органами в отношении субъекта контроля, за текущий календарный год.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этого критерия (КР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 составляет 50 процентов.</w:t>
      </w:r>
    </w:p>
    <w:p w:rsidR="000C07A3" w:rsidRDefault="000C07A3" w:rsidP="000C07A3">
      <w:pPr>
        <w:autoSpaceDE w:val="0"/>
        <w:autoSpaceDN w:val="0"/>
        <w:adjustRightInd w:val="0"/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Критерий, указанный в </w:t>
      </w:r>
      <w:hyperlink r:id="rId9" w:anchor="Par244" w:history="1">
        <w:r>
          <w:rPr>
            <w:rStyle w:val="a3"/>
            <w:sz w:val="28"/>
            <w:szCs w:val="28"/>
            <w:u w:val="none"/>
          </w:rPr>
          <w:t>подпункте "в"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 (КР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), рассчитывается как отношение количества решений, принятых федеральным органом исполнительной власти, уполномоченным на осуществление контроля в сфере закупок, о не включении сведений в отношении поставщика (подрядчика, исполнителя)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 к общему количеству решений заказчика об одностороннем отказе от исполнения контракта. Количество присуждаемых баллов субъекту контроля по указанному критерию (КР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определяется по формуле: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9"/>
          <w:sz w:val="28"/>
          <w:szCs w:val="28"/>
        </w:rPr>
        <w:drawing>
          <wp:inline distT="0" distB="0" distL="0" distR="0">
            <wp:extent cx="1924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РКi</w:t>
      </w:r>
      <w:proofErr w:type="spellEnd"/>
      <w:r>
        <w:rPr>
          <w:sz w:val="28"/>
          <w:szCs w:val="28"/>
        </w:rPr>
        <w:t xml:space="preserve"> - количество решений, принятых федеральным органом исполнительной власти, уполномоченным на осуществление контроля в сфере закупок, о не включении сведений в отношении поставщика (подрядчика, </w:t>
      </w:r>
      <w:r>
        <w:rPr>
          <w:sz w:val="28"/>
          <w:szCs w:val="28"/>
        </w:rPr>
        <w:lastRenderedPageBreak/>
        <w:t>исполнителя) в реестр недобросовестных поставщиков (подрядчиков, исполнителей) в случае одностороннего отказа со стороны заказчика от исполнения контракта с таким поставщиком (подрядчиком, исполнителем) за текущий календарный год;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РКmax</w:t>
      </w:r>
      <w:proofErr w:type="spellEnd"/>
      <w:r>
        <w:rPr>
          <w:sz w:val="28"/>
          <w:szCs w:val="28"/>
        </w:rPr>
        <w:t xml:space="preserve"> - общее количество решений заказчика об одностороннем отказе от исполнения контракта за текущий календарный год.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этого критерия (КР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составляет 25 процентов.</w:t>
      </w:r>
    </w:p>
    <w:p w:rsidR="000C07A3" w:rsidRDefault="000C07A3" w:rsidP="000C07A3">
      <w:pPr>
        <w:autoSpaceDE w:val="0"/>
        <w:autoSpaceDN w:val="0"/>
        <w:adjustRightInd w:val="0"/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66. Категории риска в отношении субъектов контроля рассчитываются по формуле: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7"/>
          <w:sz w:val="28"/>
          <w:szCs w:val="28"/>
        </w:rPr>
        <w:drawing>
          <wp:inline distT="0" distB="0" distL="0" distR="0">
            <wp:extent cx="2286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0,25 x КР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+ 0,5 x КР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+ 0,25 x КР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категории риска в отношении субъектов контроля в случае, предусмотренном </w:t>
      </w:r>
      <w:hyperlink r:id="rId12" w:anchor="Par247" w:history="1">
        <w:r>
          <w:rPr>
            <w:rStyle w:val="a3"/>
            <w:sz w:val="28"/>
            <w:szCs w:val="28"/>
            <w:u w:val="none"/>
          </w:rPr>
          <w:t>пунктом 65</w:t>
        </w:r>
      </w:hyperlink>
      <w:r>
        <w:rPr>
          <w:sz w:val="28"/>
          <w:szCs w:val="28"/>
        </w:rPr>
        <w:t xml:space="preserve"> постановления Правительства РФ № 1576 от 01.10.2020 г., расчет осуществляется на основании критерия, указанного в </w:t>
      </w:r>
      <w:hyperlink r:id="rId13" w:anchor="Par242" w:history="1">
        <w:r>
          <w:rPr>
            <w:rStyle w:val="a3"/>
            <w:sz w:val="28"/>
            <w:szCs w:val="28"/>
            <w:u w:val="none"/>
          </w:rPr>
          <w:t>подпункте "а"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г., и критерия, указанного в </w:t>
      </w:r>
      <w:hyperlink r:id="rId14" w:anchor="Par243" w:history="1">
        <w:r>
          <w:rPr>
            <w:rStyle w:val="a3"/>
            <w:sz w:val="28"/>
            <w:szCs w:val="28"/>
            <w:u w:val="none"/>
          </w:rPr>
          <w:t>подпункте "б" пункта 64</w:t>
        </w:r>
      </w:hyperlink>
      <w:r>
        <w:rPr>
          <w:sz w:val="28"/>
          <w:szCs w:val="28"/>
        </w:rPr>
        <w:t xml:space="preserve"> постановления Правительства РФ № 1576 от 01.10.2020 г., значимость которых составляет 30 и 70 процентов соответственно.</w:t>
      </w:r>
    </w:p>
    <w:p w:rsidR="000C07A3" w:rsidRDefault="000C07A3" w:rsidP="000C07A3">
      <w:pPr>
        <w:autoSpaceDE w:val="0"/>
        <w:autoSpaceDN w:val="0"/>
        <w:adjustRightInd w:val="0"/>
        <w:spacing w:before="3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67. Субъекты контроля, которые по критериям набрали от 60 до 100 баллов включительно, относятся к категории высокого риска.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контроля, которые по критериям набрали от 30 до 60 баллов включительно, относятся к категории среднего риска.</w:t>
      </w:r>
    </w:p>
    <w:p w:rsidR="000C07A3" w:rsidRDefault="000C07A3" w:rsidP="000C07A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Субъекты контроля, которые по критериям набрали до 30 баллов включительно, относятся к категории низкого риска.</w:t>
      </w: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320"/>
      <w:bookmarkEnd w:id="7"/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07A3" w:rsidRDefault="000C07A3" w:rsidP="000C0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9F1" w:rsidRDefault="007629F1"/>
    <w:sectPr w:rsidR="0076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99"/>
    <w:rsid w:val="000C07A3"/>
    <w:rsid w:val="00760699"/>
    <w:rsid w:val="007629F1"/>
    <w:rsid w:val="008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DCDF-B351-4BAF-8BAD-6FE5C59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C0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12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9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Relationship Id="rId14" Type="http://schemas.openxmlformats.org/officeDocument/2006/relationships/hyperlink" Target="file:///C:\Users\&#1069;&#1082;&#1086;&#1085;&#1086;&#1084;&#1080;&#1082;&#1072;1\Desktop\&#1050;&#1089;&#1102;&#1096;&#1072;\&#1050;&#1089;&#1102;&#1096;&#1072;\&#1050;&#1054;&#1052;&#1048;&#1057;&#1057;&#1048;&#1048;\&#1050;&#1086;&#1084;&#1080;&#1089;&#1089;&#1080;&#1103;%20&#1074;%20&#1089;&#1092;&#1077;&#1088;&#1077;%20&#1079;&#1072;&#1082;&#1091;&#1087;&#1086;&#1082;%2044%20&#1060;&#1047;\2021%20&#1075;&#1086;&#1076;\&#1055;&#1086;&#1089;&#1090;&#1072;&#1085;&#1086;&#1074;&#1083;&#1077;&#1085;&#1080;&#1103;%20&#1056;&#1091;&#1082;&#1086;&#1074;&#1086;&#1076;&#1103;&#1097;&#1080;&#1077;%20&#1076;&#1086;&#1082;&#1091;&#1084;&#1077;&#1085;&#1090;&#1099;\&#1055;&#1086;&#1089;&#1090;%20&#1054;&#1073;%20&#1091;&#1090;&#1074;%20&#1055;&#1086;&#1083;&#1086;&#1078;&#1077;&#1085;&#1080;&#1103;%20&#1050;&#1086;&#1084;&#1080;&#1089;&#1089;&#1080;&#1080;%20&#1087;&#1086;%2044&#106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Печеных</dc:creator>
  <cp:keywords/>
  <dc:description/>
  <cp:lastModifiedBy>Соколов</cp:lastModifiedBy>
  <cp:revision>3</cp:revision>
  <dcterms:created xsi:type="dcterms:W3CDTF">2021-04-09T06:39:00Z</dcterms:created>
  <dcterms:modified xsi:type="dcterms:W3CDTF">2021-04-09T07:15:00Z</dcterms:modified>
</cp:coreProperties>
</file>